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E9" w:rsidRPr="009704E9" w:rsidRDefault="009704E9" w:rsidP="009704E9">
      <w:pPr>
        <w:spacing w:after="0" w:line="480" w:lineRule="auto"/>
        <w:jc w:val="center"/>
        <w:rPr>
          <w:rFonts w:ascii="Times New Roman" w:hAnsi="Times New Roman" w:cs="Times New Roman"/>
          <w:b/>
          <w:color w:val="000000"/>
          <w:sz w:val="36"/>
          <w:szCs w:val="36"/>
        </w:rPr>
      </w:pPr>
      <w:r w:rsidRPr="009704E9">
        <w:rPr>
          <w:rFonts w:ascii="Times New Roman" w:hAnsi="Times New Roman" w:cs="Times New Roman"/>
          <w:b/>
          <w:color w:val="000000"/>
          <w:sz w:val="36"/>
          <w:szCs w:val="36"/>
        </w:rPr>
        <w:t>Annotated Bibliography</w:t>
      </w:r>
    </w:p>
    <w:p w:rsidR="009704E9" w:rsidRPr="009704E9" w:rsidRDefault="009704E9" w:rsidP="009704E9">
      <w:pPr>
        <w:spacing w:after="0" w:line="480" w:lineRule="auto"/>
        <w:rPr>
          <w:rFonts w:ascii="Times New Roman" w:hAnsi="Times New Roman" w:cs="Times New Roman"/>
          <w:b/>
          <w:color w:val="000000"/>
          <w:sz w:val="24"/>
          <w:szCs w:val="24"/>
        </w:rPr>
      </w:pPr>
      <w:r w:rsidRPr="009704E9">
        <w:rPr>
          <w:rFonts w:ascii="Times New Roman" w:hAnsi="Times New Roman" w:cs="Times New Roman"/>
          <w:b/>
          <w:color w:val="000000"/>
          <w:sz w:val="24"/>
          <w:szCs w:val="24"/>
        </w:rPr>
        <w:t>What is it?</w:t>
      </w:r>
    </w:p>
    <w:p w:rsidR="009704E9" w:rsidRDefault="009704E9" w:rsidP="009704E9">
      <w:pPr>
        <w:spacing w:after="0" w:line="480" w:lineRule="auto"/>
        <w:ind w:firstLine="720"/>
        <w:rPr>
          <w:rFonts w:ascii="Times New Roman" w:hAnsi="Times New Roman" w:cs="Times New Roman"/>
          <w:color w:val="000000"/>
          <w:sz w:val="24"/>
          <w:szCs w:val="24"/>
        </w:rPr>
      </w:pPr>
      <w:r w:rsidRPr="009704E9">
        <w:rPr>
          <w:rFonts w:ascii="Times New Roman" w:hAnsi="Times New Roman" w:cs="Times New Roman"/>
          <w:color w:val="000000"/>
          <w:sz w:val="24"/>
          <w:szCs w:val="24"/>
        </w:rPr>
        <w:t xml:space="preserve">An annotated bibliography is a list of citations to books, articles, and documents. Each citation </w:t>
      </w:r>
      <w:proofErr w:type="gramStart"/>
      <w:r w:rsidRPr="009704E9">
        <w:rPr>
          <w:rFonts w:ascii="Times New Roman" w:hAnsi="Times New Roman" w:cs="Times New Roman"/>
          <w:color w:val="000000"/>
          <w:sz w:val="24"/>
          <w:szCs w:val="24"/>
        </w:rPr>
        <w:t>is followed</w:t>
      </w:r>
      <w:proofErr w:type="gramEnd"/>
      <w:r w:rsidRPr="009704E9">
        <w:rPr>
          <w:rFonts w:ascii="Times New Roman" w:hAnsi="Times New Roman" w:cs="Times New Roman"/>
          <w:color w:val="000000"/>
          <w:sz w:val="24"/>
          <w:szCs w:val="24"/>
        </w:rPr>
        <w:t xml:space="preserve"> by a brief (usually about 150 words) descriptive and evaluative paragraph</w:t>
      </w:r>
      <w:r>
        <w:rPr>
          <w:rFonts w:ascii="Times New Roman" w:hAnsi="Times New Roman" w:cs="Times New Roman"/>
          <w:color w:val="000000"/>
          <w:sz w:val="24"/>
          <w:szCs w:val="24"/>
        </w:rPr>
        <w:t xml:space="preserve"> and a paragraph that draws connections to other sources</w:t>
      </w:r>
      <w:r w:rsidRPr="009704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i.e.</w:t>
      </w:r>
      <w:r w:rsidRPr="009704E9">
        <w:rPr>
          <w:rFonts w:ascii="Times New Roman" w:hAnsi="Times New Roman" w:cs="Times New Roman"/>
          <w:color w:val="000000"/>
          <w:sz w:val="24"/>
          <w:szCs w:val="24"/>
        </w:rPr>
        <w:t xml:space="preserve"> the annotation. The purpose of the annotation is to inform the reader of the relevance, accuracy, and quality of the sources cited.</w:t>
      </w:r>
    </w:p>
    <w:p w:rsidR="009704E9" w:rsidRPr="009704E9" w:rsidRDefault="009704E9" w:rsidP="009704E9">
      <w:pPr>
        <w:spacing w:after="0" w:line="480" w:lineRule="auto"/>
        <w:ind w:left="720" w:hanging="720"/>
        <w:rPr>
          <w:rFonts w:ascii="Times New Roman" w:hAnsi="Times New Roman" w:cs="Times New Roman"/>
          <w:b/>
          <w:color w:val="000000"/>
          <w:sz w:val="24"/>
          <w:szCs w:val="24"/>
        </w:rPr>
      </w:pPr>
      <w:r w:rsidRPr="009704E9">
        <w:rPr>
          <w:rFonts w:ascii="Times New Roman" w:hAnsi="Times New Roman" w:cs="Times New Roman"/>
          <w:b/>
          <w:color w:val="000000"/>
          <w:sz w:val="24"/>
          <w:szCs w:val="24"/>
        </w:rPr>
        <w:t>Sample Annotated Bibliography Entry in MLA 8:</w:t>
      </w:r>
    </w:p>
    <w:p w:rsidR="009704E9" w:rsidRDefault="009704E9" w:rsidP="009704E9">
      <w:pPr>
        <w:spacing w:after="0" w:line="480" w:lineRule="auto"/>
        <w:ind w:left="720" w:hanging="720"/>
        <w:rPr>
          <w:rFonts w:ascii="Times New Roman" w:hAnsi="Times New Roman" w:cs="Times New Roman"/>
          <w:color w:val="000000"/>
          <w:sz w:val="24"/>
          <w:szCs w:val="24"/>
        </w:rPr>
      </w:pPr>
      <w:r w:rsidRPr="009704E9">
        <w:rPr>
          <w:rFonts w:ascii="Times New Roman" w:hAnsi="Times New Roman" w:cs="Times New Roman"/>
          <w:noProof/>
          <w:color w:val="000000"/>
          <w:sz w:val="24"/>
          <w:szCs w:val="24"/>
        </w:rPr>
        <mc:AlternateContent>
          <mc:Choice Requires="wps">
            <w:drawing>
              <wp:anchor distT="45720" distB="45720" distL="114300" distR="114300" simplePos="0" relativeHeight="251663360" behindDoc="1" locked="0" layoutInCell="1" allowOverlap="1" wp14:anchorId="0DCB2C66" wp14:editId="467309C4">
                <wp:simplePos x="0" y="0"/>
                <wp:positionH relativeFrom="column">
                  <wp:posOffset>-657225</wp:posOffset>
                </wp:positionH>
                <wp:positionV relativeFrom="paragraph">
                  <wp:posOffset>337185</wp:posOffset>
                </wp:positionV>
                <wp:extent cx="933450" cy="638175"/>
                <wp:effectExtent l="0" t="0" r="19050" b="28575"/>
                <wp:wrapTight wrapText="bothSides">
                  <wp:wrapPolygon edited="0">
                    <wp:start x="0" y="0"/>
                    <wp:lineTo x="0" y="21922"/>
                    <wp:lineTo x="21600" y="21922"/>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38175"/>
                        </a:xfrm>
                        <a:prstGeom prst="rect">
                          <a:avLst/>
                        </a:prstGeom>
                        <a:solidFill>
                          <a:srgbClr val="FFFFFF"/>
                        </a:solidFill>
                        <a:ln w="9525">
                          <a:solidFill>
                            <a:srgbClr val="000000"/>
                          </a:solidFill>
                          <a:miter lim="800000"/>
                          <a:headEnd/>
                          <a:tailEnd/>
                        </a:ln>
                      </wps:spPr>
                      <wps:txbx>
                        <w:txbxContent>
                          <w:p w:rsidR="009704E9" w:rsidRPr="009704E9" w:rsidRDefault="009704E9" w:rsidP="009704E9">
                            <w:pPr>
                              <w:rPr>
                                <w:color w:val="FF0000"/>
                              </w:rPr>
                            </w:pPr>
                            <w:r>
                              <w:rPr>
                                <w:color w:val="FF0000"/>
                              </w:rPr>
                              <w:t>Full source citation in MLA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B2C66" id="_x0000_t202" coordsize="21600,21600" o:spt="202" path="m,l,21600r21600,l21600,xe">
                <v:stroke joinstyle="miter"/>
                <v:path gradientshapeok="t" o:connecttype="rect"/>
              </v:shapetype>
              <v:shape id="Text Box 2" o:spid="_x0000_s1026" type="#_x0000_t202" style="position:absolute;left:0;text-align:left;margin-left:-51.75pt;margin-top:26.55pt;width:73.5pt;height:5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">
                <v:textbox>
                  <w:txbxContent>
                    <w:p w:rsidR="009704E9" w:rsidRPr="009704E9" w:rsidRDefault="009704E9" w:rsidP="009704E9">
                      <w:pPr>
                        <w:rPr>
                          <w:color w:val="FF0000"/>
                        </w:rPr>
                      </w:pPr>
                      <w:r>
                        <w:rPr>
                          <w:color w:val="FF0000"/>
                        </w:rPr>
                        <w:t>Full source citation in MLA format</w:t>
                      </w:r>
                    </w:p>
                  </w:txbxContent>
                </v:textbox>
                <w10:wrap type="tight"/>
              </v:shape>
            </w:pict>
          </mc:Fallback>
        </mc:AlternateContent>
      </w:r>
      <w:r w:rsidRPr="0068277C">
        <w:rPr>
          <w:rFonts w:ascii="Times New Roman" w:hAnsi="Times New Roman" w:cs="Times New Roman"/>
          <w:color w:val="000000"/>
          <w:sz w:val="24"/>
          <w:szCs w:val="24"/>
        </w:rPr>
        <w:t xml:space="preserve">Smith, Charles G. "Spenser's Theory of Friendship: An Elizabethan Commonplace." </w:t>
      </w:r>
      <w:r w:rsidRPr="0068277C">
        <w:rPr>
          <w:rFonts w:ascii="Times New Roman" w:hAnsi="Times New Roman" w:cs="Times New Roman"/>
          <w:i/>
          <w:color w:val="000000"/>
          <w:sz w:val="24"/>
          <w:szCs w:val="24"/>
        </w:rPr>
        <w:t>Studies in Philology</w:t>
      </w:r>
      <w:r w:rsidRPr="0068277C">
        <w:rPr>
          <w:rFonts w:ascii="Times New Roman" w:hAnsi="Times New Roman" w:cs="Times New Roman"/>
          <w:color w:val="000000"/>
          <w:sz w:val="24"/>
          <w:szCs w:val="24"/>
        </w:rPr>
        <w:t xml:space="preserve">, vol. 32, no. 2, Apr. 1935, pp. 158-69. </w:t>
      </w:r>
      <w:r w:rsidRPr="0068277C">
        <w:rPr>
          <w:rFonts w:ascii="Times New Roman" w:hAnsi="Times New Roman" w:cs="Times New Roman"/>
          <w:i/>
          <w:color w:val="000000"/>
          <w:sz w:val="24"/>
          <w:szCs w:val="24"/>
        </w:rPr>
        <w:t>JSTOR</w:t>
      </w:r>
      <w:r w:rsidRPr="0068277C">
        <w:rPr>
          <w:rFonts w:ascii="Times New Roman" w:hAnsi="Times New Roman" w:cs="Times New Roman"/>
          <w:color w:val="000000"/>
          <w:sz w:val="24"/>
          <w:szCs w:val="24"/>
        </w:rPr>
        <w:t>, www.jstor.org</w:t>
      </w:r>
      <w:r>
        <w:rPr>
          <w:rFonts w:ascii="Times New Roman" w:hAnsi="Times New Roman" w:cs="Times New Roman"/>
          <w:color w:val="000000"/>
          <w:sz w:val="24"/>
          <w:szCs w:val="24"/>
        </w:rPr>
        <w:t>/stable.4172271. Accessed 22</w:t>
      </w:r>
      <w:r w:rsidRPr="00682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w:t>
      </w:r>
      <w:r w:rsidRPr="0068277C">
        <w:rPr>
          <w:rFonts w:ascii="Times New Roman" w:hAnsi="Times New Roman" w:cs="Times New Roman"/>
          <w:color w:val="000000"/>
          <w:sz w:val="24"/>
          <w:szCs w:val="24"/>
        </w:rPr>
        <w:t xml:space="preserve"> 2018.</w:t>
      </w:r>
    </w:p>
    <w:p w:rsidR="009704E9" w:rsidRDefault="009704E9" w:rsidP="009704E9">
      <w:pPr>
        <w:spacing w:after="0" w:line="480" w:lineRule="auto"/>
        <w:ind w:left="720" w:firstLine="720"/>
        <w:rPr>
          <w:rFonts w:ascii="Times New Roman" w:hAnsi="Times New Roman" w:cs="Times New Roman"/>
          <w:color w:val="000000"/>
          <w:sz w:val="24"/>
          <w:szCs w:val="24"/>
        </w:rPr>
      </w:pPr>
      <w:r w:rsidRPr="009704E9">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1" locked="0" layoutInCell="1" allowOverlap="1">
                <wp:simplePos x="0" y="0"/>
                <wp:positionH relativeFrom="column">
                  <wp:posOffset>-800735</wp:posOffset>
                </wp:positionH>
                <wp:positionV relativeFrom="paragraph">
                  <wp:posOffset>428625</wp:posOffset>
                </wp:positionV>
                <wp:extent cx="1076325" cy="885825"/>
                <wp:effectExtent l="0" t="0" r="28575" b="28575"/>
                <wp:wrapTight wrapText="bothSides">
                  <wp:wrapPolygon edited="0">
                    <wp:start x="0" y="0"/>
                    <wp:lineTo x="0" y="21832"/>
                    <wp:lineTo x="21791" y="21832"/>
                    <wp:lineTo x="217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85825"/>
                        </a:xfrm>
                        <a:prstGeom prst="rect">
                          <a:avLst/>
                        </a:prstGeom>
                        <a:solidFill>
                          <a:srgbClr val="FFFFFF"/>
                        </a:solidFill>
                        <a:ln w="9525">
                          <a:solidFill>
                            <a:srgbClr val="000000"/>
                          </a:solidFill>
                          <a:miter lim="800000"/>
                          <a:headEnd/>
                          <a:tailEnd/>
                        </a:ln>
                      </wps:spPr>
                      <wps:txbx>
                        <w:txbxContent>
                          <w:p w:rsidR="009704E9" w:rsidRPr="009704E9" w:rsidRDefault="009704E9">
                            <w:pPr>
                              <w:rPr>
                                <w:color w:val="FF0000"/>
                              </w:rPr>
                            </w:pPr>
                            <w:r w:rsidRPr="009704E9">
                              <w:rPr>
                                <w:color w:val="FF0000"/>
                              </w:rPr>
                              <w:t>Descriptive and evaluative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05pt;margin-top:33.75pt;width:84.75pt;height:6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">
                <v:textbox>
                  <w:txbxContent>
                    <w:p w:rsidR="009704E9" w:rsidRPr="009704E9" w:rsidRDefault="009704E9">
                      <w:pPr>
                        <w:rPr>
                          <w:color w:val="FF0000"/>
                        </w:rPr>
                      </w:pPr>
                      <w:r w:rsidRPr="009704E9">
                        <w:rPr>
                          <w:color w:val="FF0000"/>
                        </w:rPr>
                        <w:t>Descriptive and evaluative paragraph</w:t>
                      </w:r>
                    </w:p>
                  </w:txbxContent>
                </v:textbox>
                <w10:wrap type="tight"/>
              </v:shape>
            </w:pict>
          </mc:Fallback>
        </mc:AlternateContent>
      </w:r>
      <w:r>
        <w:rPr>
          <w:rFonts w:ascii="Times New Roman" w:hAnsi="Times New Roman" w:cs="Times New Roman"/>
          <w:color w:val="000000"/>
          <w:sz w:val="24"/>
          <w:szCs w:val="24"/>
        </w:rPr>
        <w:t>This source gives a general overview of Spenser’s theory of friendship as one of concord and discord.  According to Smith, Spenser views discord as chaos always threatening to overtake the earth.  Conc</w:t>
      </w:r>
      <w:bookmarkStart w:id="0" w:name="_GoBack"/>
      <w:bookmarkEnd w:id="0"/>
      <w:r>
        <w:rPr>
          <w:rFonts w:ascii="Times New Roman" w:hAnsi="Times New Roman" w:cs="Times New Roman"/>
          <w:color w:val="000000"/>
          <w:sz w:val="24"/>
          <w:szCs w:val="24"/>
        </w:rPr>
        <w:t xml:space="preserve">ord on the other hand </w:t>
      </w:r>
      <w:proofErr w:type="gramStart"/>
      <w:r>
        <w:rPr>
          <w:rFonts w:ascii="Times New Roman" w:hAnsi="Times New Roman" w:cs="Times New Roman"/>
          <w:color w:val="000000"/>
          <w:sz w:val="24"/>
          <w:szCs w:val="24"/>
        </w:rPr>
        <w:t>is seen</w:t>
      </w:r>
      <w:proofErr w:type="gramEnd"/>
      <w:r>
        <w:rPr>
          <w:rFonts w:ascii="Times New Roman" w:hAnsi="Times New Roman" w:cs="Times New Roman"/>
          <w:color w:val="000000"/>
          <w:sz w:val="24"/>
          <w:szCs w:val="24"/>
        </w:rPr>
        <w:t xml:space="preserve"> as a unifying principle of cosmic love that operates in the world to promote friendship and overcome all social and political problems that are the children of discord.  Smith asserts that Spenser was not unique within his time with these views, citing Shakespeare and Chaucer as both holding similar ideas.</w:t>
      </w:r>
    </w:p>
    <w:p w:rsidR="009704E9" w:rsidRPr="0068277C" w:rsidRDefault="009704E9" w:rsidP="009704E9">
      <w:pPr>
        <w:spacing w:after="0" w:line="480" w:lineRule="auto"/>
        <w:ind w:left="720" w:firstLine="720"/>
        <w:rPr>
          <w:rFonts w:ascii="Times New Roman" w:hAnsi="Times New Roman" w:cs="Times New Roman"/>
          <w:sz w:val="24"/>
          <w:szCs w:val="24"/>
        </w:rPr>
      </w:pPr>
      <w:r w:rsidRPr="009704E9">
        <w:rPr>
          <w:rFonts w:ascii="Times New Roman" w:hAnsi="Times New Roman" w:cs="Times New Roman"/>
          <w:noProof/>
          <w:color w:val="000000"/>
          <w:sz w:val="24"/>
          <w:szCs w:val="24"/>
        </w:rPr>
        <mc:AlternateContent>
          <mc:Choice Requires="wps">
            <w:drawing>
              <wp:anchor distT="45720" distB="45720" distL="114300" distR="114300" simplePos="0" relativeHeight="251661312" behindDoc="1" locked="0" layoutInCell="1" allowOverlap="1" wp14:anchorId="3CBDE1C4" wp14:editId="5B8AEDE0">
                <wp:simplePos x="0" y="0"/>
                <wp:positionH relativeFrom="column">
                  <wp:posOffset>-800100</wp:posOffset>
                </wp:positionH>
                <wp:positionV relativeFrom="paragraph">
                  <wp:posOffset>271145</wp:posOffset>
                </wp:positionV>
                <wp:extent cx="1123950" cy="981075"/>
                <wp:effectExtent l="0" t="0" r="19050" b="28575"/>
                <wp:wrapTight wrapText="bothSides">
                  <wp:wrapPolygon edited="0">
                    <wp:start x="0" y="0"/>
                    <wp:lineTo x="0" y="21810"/>
                    <wp:lineTo x="21600" y="2181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1075"/>
                        </a:xfrm>
                        <a:prstGeom prst="rect">
                          <a:avLst/>
                        </a:prstGeom>
                        <a:solidFill>
                          <a:srgbClr val="FFFFFF"/>
                        </a:solidFill>
                        <a:ln w="9525">
                          <a:solidFill>
                            <a:srgbClr val="000000"/>
                          </a:solidFill>
                          <a:miter lim="800000"/>
                          <a:headEnd/>
                          <a:tailEnd/>
                        </a:ln>
                      </wps:spPr>
                      <wps:txbx>
                        <w:txbxContent>
                          <w:p w:rsidR="009704E9" w:rsidRPr="009704E9" w:rsidRDefault="009704E9" w:rsidP="009704E9">
                            <w:pPr>
                              <w:rPr>
                                <w:color w:val="FF0000"/>
                              </w:rPr>
                            </w:pPr>
                            <w:r w:rsidRPr="009704E9">
                              <w:rPr>
                                <w:color w:val="FF0000"/>
                              </w:rPr>
                              <w:t>Connections to other sources used in the research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DE1C4" id="_x0000_s1028" type="#_x0000_t202" style="position:absolute;left:0;text-align:left;margin-left:-63pt;margin-top:21.35pt;width:88.5pt;height:7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">
                <v:textbox>
                  <w:txbxContent>
                    <w:p w:rsidR="009704E9" w:rsidRPr="009704E9" w:rsidRDefault="009704E9" w:rsidP="009704E9">
                      <w:pPr>
                        <w:rPr>
                          <w:color w:val="FF0000"/>
                        </w:rPr>
                      </w:pPr>
                      <w:r w:rsidRPr="009704E9">
                        <w:rPr>
                          <w:color w:val="FF0000"/>
                        </w:rPr>
                        <w:t>Connections to other sources used in the research process</w:t>
                      </w:r>
                    </w:p>
                  </w:txbxContent>
                </v:textbox>
                <w10:wrap type="tight"/>
              </v:shape>
            </w:pict>
          </mc:Fallback>
        </mc:AlternateContent>
      </w:r>
      <w:r>
        <w:rPr>
          <w:rFonts w:ascii="Times New Roman" w:hAnsi="Times New Roman" w:cs="Times New Roman"/>
          <w:color w:val="000000"/>
          <w:sz w:val="24"/>
          <w:szCs w:val="24"/>
        </w:rPr>
        <w:t xml:space="preserve">This source provides a broad overview of a </w:t>
      </w:r>
      <w:proofErr w:type="gramStart"/>
      <w:r>
        <w:rPr>
          <w:rFonts w:ascii="Times New Roman" w:hAnsi="Times New Roman" w:cs="Times New Roman"/>
          <w:color w:val="000000"/>
          <w:sz w:val="24"/>
          <w:szCs w:val="24"/>
        </w:rPr>
        <w:t>topic which</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Koller</w:t>
      </w:r>
      <w:proofErr w:type="spellEnd"/>
      <w:r>
        <w:rPr>
          <w:rFonts w:ascii="Times New Roman" w:hAnsi="Times New Roman" w:cs="Times New Roman"/>
          <w:color w:val="000000"/>
          <w:sz w:val="24"/>
          <w:szCs w:val="24"/>
        </w:rPr>
        <w:t xml:space="preserve"> then looks at in depth.  Taken together, the two form a more complete picture of Spenser, his values, and his virtues.  This source will be useful in providing the general context for Spenser’s relationships.  One area that needs further investigation is whether Spenser believed that concord could exist between the sexes, or if it was better suited in a man’s world.</w:t>
      </w:r>
    </w:p>
    <w:p w:rsidR="001B14E3" w:rsidRDefault="001B14E3"/>
    <w:sectPr w:rsidR="001B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9"/>
    <w:rsid w:val="001B14E3"/>
    <w:rsid w:val="0097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2080"/>
  <w15:chartTrackingRefBased/>
  <w15:docId w15:val="{143220D1-D55E-4BF9-8DEC-FFFB5D8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2019-11-14T16:05:00Z</dcterms:created>
  <dcterms:modified xsi:type="dcterms:W3CDTF">2019-11-14T16:11:00Z</dcterms:modified>
</cp:coreProperties>
</file>