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22" w:rsidRDefault="00224733">
      <w:pPr>
        <w:pStyle w:val="Title"/>
      </w:pPr>
      <w:r>
        <w:rPr>
          <w:i/>
        </w:rPr>
        <w:t>The Odyssey</w:t>
      </w:r>
      <w:r w:rsidR="00C43822">
        <w:t xml:space="preserve"> Projects</w:t>
      </w:r>
    </w:p>
    <w:p w:rsidR="00C43822" w:rsidRDefault="00C43822">
      <w:pPr>
        <w:jc w:val="center"/>
        <w:rPr>
          <w:b/>
          <w:bCs/>
          <w:sz w:val="36"/>
        </w:rPr>
      </w:pPr>
    </w:p>
    <w:p w:rsidR="00C43822" w:rsidRDefault="00C43822">
      <w:r>
        <w:rPr>
          <w:b/>
          <w:bCs/>
        </w:rPr>
        <w:t xml:space="preserve">Purpose:  </w:t>
      </w:r>
      <w:r>
        <w:t xml:space="preserve">To demonstrate your understanding of the </w:t>
      </w:r>
      <w:r w:rsidR="00224733">
        <w:t>poem</w:t>
      </w:r>
      <w:r w:rsidR="003D11A6">
        <w:t>.</w:t>
      </w:r>
    </w:p>
    <w:p w:rsidR="00C43822" w:rsidRDefault="00C43822"/>
    <w:p w:rsidR="00C43822" w:rsidRDefault="00C43822">
      <w:r>
        <w:rPr>
          <w:b/>
          <w:bCs/>
        </w:rPr>
        <w:t xml:space="preserve">The Project:  </w:t>
      </w:r>
      <w:r>
        <w:t xml:space="preserve">Anything except a traditional report.  </w:t>
      </w:r>
      <w:r w:rsidR="00575AC3">
        <w:rPr>
          <w:b/>
        </w:rPr>
        <w:t xml:space="preserve">Remember, no matter what project you choose, </w:t>
      </w:r>
      <w:r w:rsidR="00575AC3" w:rsidRPr="00DD22FA">
        <w:rPr>
          <w:b/>
          <w:u w:val="single"/>
        </w:rPr>
        <w:t>the presentation must include how your project shows your understanding of t</w:t>
      </w:r>
      <w:r w:rsidR="00224733">
        <w:rPr>
          <w:b/>
          <w:u w:val="single"/>
        </w:rPr>
        <w:t>he poem</w:t>
      </w:r>
      <w:r w:rsidR="00575AC3" w:rsidRPr="00DD22FA">
        <w:rPr>
          <w:b/>
          <w:u w:val="single"/>
        </w:rPr>
        <w:t>’s themes</w:t>
      </w:r>
      <w:r w:rsidR="00575AC3">
        <w:rPr>
          <w:b/>
        </w:rPr>
        <w:t xml:space="preserve">.  </w:t>
      </w:r>
      <w:r>
        <w:t>Here are just some possibilities:</w:t>
      </w:r>
    </w:p>
    <w:p w:rsidR="00C43822" w:rsidRDefault="00C43822"/>
    <w:p w:rsidR="00C43822" w:rsidRDefault="00C43822">
      <w:pPr>
        <w:numPr>
          <w:ilvl w:val="0"/>
          <w:numId w:val="1"/>
        </w:numPr>
      </w:pPr>
      <w:r>
        <w:t xml:space="preserve">A poster showing a key scene from the </w:t>
      </w:r>
      <w:r w:rsidR="00224733">
        <w:t>poem</w:t>
      </w:r>
      <w:r>
        <w:t xml:space="preserve"> with your explanation of why it is important to the </w:t>
      </w:r>
      <w:r w:rsidR="00224733">
        <w:t>poem</w:t>
      </w:r>
      <w:r>
        <w:t>.  Posters could also show costuming, weapons, diagrams of the plot, a timeline, etc.</w:t>
      </w:r>
    </w:p>
    <w:p w:rsidR="00C43822" w:rsidRDefault="00C43822">
      <w:pPr>
        <w:numPr>
          <w:ilvl w:val="0"/>
          <w:numId w:val="1"/>
        </w:numPr>
      </w:pPr>
      <w:r>
        <w:t xml:space="preserve">A </w:t>
      </w:r>
      <w:proofErr w:type="spellStart"/>
      <w:r>
        <w:t>Powerpoint</w:t>
      </w:r>
      <w:proofErr w:type="spellEnd"/>
      <w:r>
        <w:t xml:space="preserve"> style presentation.  Be creative.  In the past, students have drawn cartoons of the </w:t>
      </w:r>
      <w:r w:rsidR="00224733">
        <w:t>poem</w:t>
      </w:r>
      <w:r>
        <w:t xml:space="preserve"> to show their understanding.  One student did a soundtrack to key moments in the </w:t>
      </w:r>
      <w:r w:rsidR="00224733">
        <w:t>poem</w:t>
      </w:r>
      <w:r>
        <w:t xml:space="preserve">, using her dad’s collection of classic music to go along with her slides (the first slide was presented appropriately to the </w:t>
      </w:r>
      <w:r w:rsidR="00224733">
        <w:t>song</w:t>
      </w:r>
      <w:r>
        <w:t xml:space="preserve"> “</w:t>
      </w:r>
      <w:r w:rsidR="00224733">
        <w:t>Heroes,</w:t>
      </w:r>
      <w:r>
        <w:t>”</w:t>
      </w:r>
      <w:r w:rsidR="00224733">
        <w:t xml:space="preserve"> by David Bowie</w:t>
      </w:r>
      <w:r>
        <w:t>)</w:t>
      </w:r>
    </w:p>
    <w:p w:rsidR="00704FA6" w:rsidRDefault="00C43822" w:rsidP="00704FA6">
      <w:pPr>
        <w:numPr>
          <w:ilvl w:val="0"/>
          <w:numId w:val="1"/>
        </w:numPr>
      </w:pPr>
      <w:r>
        <w:t xml:space="preserve">A sock or </w:t>
      </w:r>
      <w:proofErr w:type="spellStart"/>
      <w:r>
        <w:t>paperbag</w:t>
      </w:r>
      <w:proofErr w:type="spellEnd"/>
      <w:r>
        <w:t xml:space="preserve"> puppet presentation of a key scene</w:t>
      </w:r>
      <w:r w:rsidR="00DD22FA">
        <w:t xml:space="preserve"> with an explanation of why this is a key scene.</w:t>
      </w:r>
    </w:p>
    <w:p w:rsidR="00B149E2" w:rsidRDefault="00B149E2" w:rsidP="00704FA6">
      <w:pPr>
        <w:numPr>
          <w:ilvl w:val="0"/>
          <w:numId w:val="1"/>
        </w:numPr>
      </w:pPr>
      <w:r>
        <w:t>An illustrated children’s book of a key moment within the poem</w:t>
      </w:r>
      <w:bookmarkStart w:id="0" w:name="_GoBack"/>
      <w:bookmarkEnd w:id="0"/>
    </w:p>
    <w:p w:rsidR="00C43822" w:rsidRDefault="00C43822">
      <w:pPr>
        <w:numPr>
          <w:ilvl w:val="0"/>
          <w:numId w:val="1"/>
        </w:numPr>
      </w:pPr>
      <w:r>
        <w:t xml:space="preserve">A dramatic presentation of a crucial moment in the </w:t>
      </w:r>
      <w:r w:rsidR="00224733">
        <w:t>poem</w:t>
      </w:r>
      <w:r>
        <w:t xml:space="preserve"> with your classmates as actors</w:t>
      </w:r>
      <w:r w:rsidR="00DD22FA">
        <w:t xml:space="preserve"> with an explanation of why this is a key scene.</w:t>
      </w:r>
    </w:p>
    <w:p w:rsidR="003D11A6" w:rsidRDefault="00B969D2">
      <w:pPr>
        <w:numPr>
          <w:ilvl w:val="0"/>
          <w:numId w:val="1"/>
        </w:numPr>
      </w:pPr>
      <w:r>
        <w:t>Create a series of cartoons that portray</w:t>
      </w:r>
      <w:r w:rsidR="003D11A6">
        <w:t xml:space="preserve"> a scene within the </w:t>
      </w:r>
      <w:r w:rsidR="00224733">
        <w:t>poem</w:t>
      </w:r>
    </w:p>
    <w:p w:rsidR="00C43822" w:rsidRDefault="00C43822">
      <w:pPr>
        <w:numPr>
          <w:ilvl w:val="0"/>
          <w:numId w:val="1"/>
        </w:numPr>
      </w:pPr>
      <w:r>
        <w:t>A rap version of the plot</w:t>
      </w:r>
    </w:p>
    <w:p w:rsidR="00C43822" w:rsidRDefault="00C43822">
      <w:pPr>
        <w:numPr>
          <w:ilvl w:val="0"/>
          <w:numId w:val="1"/>
        </w:numPr>
      </w:pPr>
      <w:r>
        <w:t xml:space="preserve">The </w:t>
      </w:r>
      <w:r w:rsidR="00224733">
        <w:t>poem</w:t>
      </w:r>
      <w:r>
        <w:t xml:space="preserve"> told through limericks</w:t>
      </w:r>
    </w:p>
    <w:p w:rsidR="00C43822" w:rsidRDefault="00C43822">
      <w:pPr>
        <w:numPr>
          <w:ilvl w:val="0"/>
          <w:numId w:val="1"/>
        </w:numPr>
      </w:pPr>
      <w:r>
        <w:t>A sculpture</w:t>
      </w:r>
    </w:p>
    <w:p w:rsidR="00C43822" w:rsidRDefault="00C43822">
      <w:pPr>
        <w:numPr>
          <w:ilvl w:val="0"/>
          <w:numId w:val="1"/>
        </w:numPr>
      </w:pPr>
      <w:r>
        <w:t>A painting</w:t>
      </w:r>
    </w:p>
    <w:p w:rsidR="00C43822" w:rsidRDefault="00C43822">
      <w:pPr>
        <w:numPr>
          <w:ilvl w:val="0"/>
          <w:numId w:val="1"/>
        </w:numPr>
      </w:pPr>
      <w:r>
        <w:t>A diorama</w:t>
      </w:r>
    </w:p>
    <w:p w:rsidR="00704FA6" w:rsidRDefault="00704FA6">
      <w:pPr>
        <w:numPr>
          <w:ilvl w:val="0"/>
          <w:numId w:val="1"/>
        </w:numPr>
      </w:pPr>
      <w:r>
        <w:t>A board game—</w:t>
      </w:r>
      <w:proofErr w:type="gramStart"/>
      <w:r>
        <w:t>Be</w:t>
      </w:r>
      <w:proofErr w:type="gramEnd"/>
      <w:r>
        <w:t xml:space="preserve"> sure to include rules, game pieces, spinners, dice, etc.</w:t>
      </w:r>
    </w:p>
    <w:p w:rsidR="00C43822" w:rsidRDefault="00C43822">
      <w:pPr>
        <w:numPr>
          <w:ilvl w:val="0"/>
          <w:numId w:val="1"/>
        </w:numPr>
      </w:pPr>
      <w:r>
        <w:t xml:space="preserve">A film (several students have tried this, filming scenes acted out by themselves, by puppets, with </w:t>
      </w:r>
      <w:proofErr w:type="spellStart"/>
      <w:proofErr w:type="gramStart"/>
      <w:r>
        <w:t>claymation</w:t>
      </w:r>
      <w:proofErr w:type="spellEnd"/>
      <w:proofErr w:type="gramEnd"/>
      <w:r>
        <w:t>, through cartoon animation, etc.)</w:t>
      </w:r>
    </w:p>
    <w:p w:rsidR="00C43822" w:rsidRDefault="00C43822">
      <w:pPr>
        <w:numPr>
          <w:ilvl w:val="0"/>
          <w:numId w:val="1"/>
        </w:numPr>
      </w:pPr>
      <w:r>
        <w:t xml:space="preserve">The </w:t>
      </w:r>
      <w:r w:rsidR="00224733">
        <w:t>poem</w:t>
      </w:r>
      <w:r>
        <w:t xml:space="preserve"> told through song (students have performed in front of class in the past or recorded their music to </w:t>
      </w:r>
      <w:r w:rsidR="00224733">
        <w:t>poem</w:t>
      </w:r>
      <w:r>
        <w:t>)</w:t>
      </w:r>
    </w:p>
    <w:p w:rsidR="00C43822" w:rsidRDefault="00C43822"/>
    <w:p w:rsidR="00C43822" w:rsidRDefault="00C43822">
      <w:r>
        <w:rPr>
          <w:b/>
          <w:bCs/>
        </w:rPr>
        <w:t xml:space="preserve">The Presentation:  </w:t>
      </w:r>
    </w:p>
    <w:p w:rsidR="00C43822" w:rsidRPr="005417F6" w:rsidRDefault="00C43822">
      <w:pPr>
        <w:numPr>
          <w:ilvl w:val="0"/>
          <w:numId w:val="1"/>
        </w:numPr>
        <w:rPr>
          <w:u w:val="single"/>
        </w:rPr>
      </w:pPr>
      <w:r>
        <w:t xml:space="preserve">A 5 to 10 minute presentation to the class of your project </w:t>
      </w:r>
      <w:r w:rsidRPr="005417F6">
        <w:rPr>
          <w:u w:val="single"/>
        </w:rPr>
        <w:t xml:space="preserve">with an explanation of how it demonstrates your understanding of the </w:t>
      </w:r>
      <w:r w:rsidR="00224733">
        <w:rPr>
          <w:u w:val="single"/>
        </w:rPr>
        <w:t>poem</w:t>
      </w:r>
    </w:p>
    <w:p w:rsidR="00C43822" w:rsidRDefault="00C43822">
      <w:pPr>
        <w:numPr>
          <w:ilvl w:val="0"/>
          <w:numId w:val="1"/>
        </w:numPr>
      </w:pPr>
      <w:r>
        <w:t xml:space="preserve">Make sure you practice your presentation.  If it is too </w:t>
      </w:r>
      <w:proofErr w:type="gramStart"/>
      <w:r>
        <w:t>short</w:t>
      </w:r>
      <w:proofErr w:type="gramEnd"/>
      <w:r>
        <w:t xml:space="preserve"> you will lose points.  If it runs too long, you will be stopped and lose points.</w:t>
      </w:r>
    </w:p>
    <w:p w:rsidR="00575AC3" w:rsidRDefault="00575AC3" w:rsidP="00575AC3">
      <w:pPr>
        <w:ind w:left="360"/>
      </w:pPr>
    </w:p>
    <w:p w:rsidR="00575AC3" w:rsidRDefault="00575AC3" w:rsidP="00575AC3">
      <w:pPr>
        <w:ind w:left="360"/>
        <w:rPr>
          <w:b/>
        </w:rPr>
      </w:pPr>
      <w:r>
        <w:rPr>
          <w:b/>
        </w:rPr>
        <w:t>Grading</w:t>
      </w:r>
      <w:r w:rsidR="0016005F">
        <w:rPr>
          <w:b/>
        </w:rPr>
        <w:t xml:space="preserve"> &amp; Deadline</w:t>
      </w:r>
    </w:p>
    <w:p w:rsidR="00575AC3" w:rsidRDefault="00575AC3" w:rsidP="00575AC3">
      <w:pPr>
        <w:numPr>
          <w:ilvl w:val="0"/>
          <w:numId w:val="1"/>
        </w:numPr>
      </w:pPr>
      <w:r>
        <w:t xml:space="preserve">The project </w:t>
      </w:r>
      <w:proofErr w:type="gramStart"/>
      <w:r>
        <w:t>will be graded</w:t>
      </w:r>
      <w:proofErr w:type="gramEnd"/>
      <w:r>
        <w:t xml:space="preserve"> on a rubric that evaluates two areas: </w:t>
      </w:r>
      <w:r>
        <w:rPr>
          <w:u w:val="single"/>
        </w:rPr>
        <w:t>presentation</w:t>
      </w:r>
      <w:r>
        <w:t xml:space="preserve">, which measures how much care and work went into the project; </w:t>
      </w:r>
      <w:r>
        <w:rPr>
          <w:u w:val="single"/>
        </w:rPr>
        <w:t>demonstration of understanding</w:t>
      </w:r>
      <w:r>
        <w:t xml:space="preserve">, which measures how well the project shows that you understand the </w:t>
      </w:r>
      <w:r w:rsidR="00224733">
        <w:t>poem</w:t>
      </w:r>
      <w:r>
        <w:t xml:space="preserve">’s themes.  Most projects take a single speech or scene and show how its importance to the </w:t>
      </w:r>
      <w:r w:rsidR="00224733">
        <w:t>poem</w:t>
      </w:r>
      <w:r>
        <w:t xml:space="preserve"> as a whole.  The more connections your project makes to the rest of the </w:t>
      </w:r>
      <w:r w:rsidR="00224733">
        <w:t>poem</w:t>
      </w:r>
      <w:r>
        <w:t>, the higher the project will score.</w:t>
      </w:r>
    </w:p>
    <w:p w:rsidR="0016005F" w:rsidRPr="00575AC3" w:rsidRDefault="0016005F" w:rsidP="00575AC3">
      <w:pPr>
        <w:numPr>
          <w:ilvl w:val="0"/>
          <w:numId w:val="1"/>
        </w:numPr>
      </w:pPr>
      <w:r>
        <w:t xml:space="preserve">Presentation of the projects will start </w:t>
      </w:r>
      <w:r w:rsidR="00814053">
        <w:t>the Wednesday of finals week</w:t>
      </w:r>
    </w:p>
    <w:p w:rsidR="00C43822" w:rsidRDefault="00C43822">
      <w:pPr>
        <w:ind w:left="360"/>
      </w:pPr>
      <w:r>
        <w:br w:type="page"/>
      </w:r>
      <w:r w:rsidR="005417F6">
        <w:lastRenderedPageBreak/>
        <w:t xml:space="preserve">This is an example </w:t>
      </w:r>
      <w:r w:rsidR="00224733">
        <w:t xml:space="preserve">of part of a student’s presentation from a different piece of </w:t>
      </w:r>
      <w:proofErr w:type="gramStart"/>
      <w:r w:rsidR="00224733">
        <w:t>literature,</w:t>
      </w:r>
      <w:proofErr w:type="gramEnd"/>
      <w:r w:rsidR="00224733">
        <w:t xml:space="preserve"> William Shakespeare’s play </w:t>
      </w:r>
      <w:r w:rsidR="00224733">
        <w:rPr>
          <w:i/>
        </w:rPr>
        <w:t>Julius Caesar</w:t>
      </w:r>
      <w:r w:rsidR="005417F6">
        <w:t xml:space="preserve">.  He drew several other cartoons of key scenes to demonstrate his understanding of the </w:t>
      </w:r>
      <w:r w:rsidR="00224733">
        <w:t>play</w:t>
      </w:r>
      <w:r w:rsidR="005417F6">
        <w:t>.</w:t>
      </w:r>
    </w:p>
    <w:p w:rsidR="005417F6" w:rsidRDefault="005417F6">
      <w:pPr>
        <w:ind w:left="360"/>
      </w:pPr>
    </w:p>
    <w:p w:rsidR="00C43822" w:rsidRDefault="00704FA6">
      <w:pPr>
        <w:ind w:left="360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-175260</wp:posOffset>
            </wp:positionV>
            <wp:extent cx="2435225" cy="1739265"/>
            <wp:effectExtent l="0" t="0" r="0" b="0"/>
            <wp:wrapNone/>
            <wp:docPr id="3" name="Picture 2" descr="a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06710A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11430</wp:posOffset>
            </wp:positionV>
            <wp:extent cx="502920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ight>
            <wp:docPr id="1" name="Picture 1" descr="Ca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s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C43822">
      <w:pPr>
        <w:ind w:left="360"/>
      </w:pPr>
    </w:p>
    <w:p w:rsidR="00C43822" w:rsidRDefault="00704FA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2581275</wp:posOffset>
                </wp:positionV>
                <wp:extent cx="3886200" cy="2546985"/>
                <wp:effectExtent l="0" t="0" r="19050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82" w:rsidRDefault="00A83B8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sz w:val="28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14"/>
                              </w:rPr>
                              <w:t>Conflict Presented:</w:t>
                            </w:r>
                          </w:p>
                          <w:p w:rsidR="00A83B82" w:rsidRDefault="00A83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83B82" w:rsidRDefault="00A83B82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  <w:t>Though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  <w:t xml:space="preserve"> the soothsayer in this part of the play was not perceived as truthful or believable, his warning of March 15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Cs w:val="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  <w:t xml:space="preserve"> to Caesar is a good example of foreshadowing to a future conflict, and therefore serves as a conflict in itself.</w:t>
                            </w:r>
                          </w:p>
                          <w:p w:rsidR="00A83B82" w:rsidRDefault="00A83B82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  <w:t xml:space="preserve">If only Julius had listened to the soothsayer’s warning, perhaps he could have prevented his own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  <w:t>death which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Cs w:val="12"/>
                              </w:rPr>
                              <w:t xml:space="preserve"> occurs later in the play.</w:t>
                            </w:r>
                          </w:p>
                          <w:p w:rsidR="00A83B82" w:rsidRDefault="00A83B82">
                            <w:pPr>
                              <w:rPr>
                                <w:rFonts w:ascii="Arial Unicode MS" w:hAnsi="Arial Unicode MS" w:cs="Arial Unicode MS"/>
                                <w:color w:val="000000"/>
                              </w:rPr>
                            </w:pPr>
                          </w:p>
                          <w:p w:rsidR="00A83B82" w:rsidRDefault="00A83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203.25pt;width:306pt;height:2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">
                <v:textbox>
                  <w:txbxContent>
                    <w:p w:rsidR="00A83B82" w:rsidRDefault="00A83B82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sz w:val="28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14"/>
                        </w:rPr>
                        <w:t>Conflict Presented:</w:t>
                      </w:r>
                    </w:p>
                    <w:p w:rsidR="00A83B82" w:rsidRDefault="00A83B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A83B82" w:rsidRDefault="00A83B82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2"/>
                        </w:rPr>
                        <w:t>Though the soothsayer in this part of the play was not perceived as truthful or believable, his warning of March 15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position w:val="2"/>
                          <w:szCs w:val="8"/>
                        </w:rPr>
                        <w:t>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Cs w:val="12"/>
                        </w:rPr>
                        <w:t xml:space="preserve"> to Caesar is a good example of foreshadowing to a future conflict, and therefore serves as a conflict in itself.</w:t>
                      </w:r>
                    </w:p>
                    <w:p w:rsidR="00A83B82" w:rsidRDefault="00A83B82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12"/>
                        </w:rPr>
                        <w:t>If only Julius had listened to the soothsayer’s warning, perhaps he could have prevented his own death which occurs later in the play.</w:t>
                      </w:r>
                    </w:p>
                    <w:p w:rsidR="00A83B82" w:rsidRDefault="00A83B82">
                      <w:pPr>
                        <w:rPr>
                          <w:rFonts w:ascii="Arial Unicode MS" w:hAnsi="Arial Unicode MS" w:cs="Arial Unicode MS"/>
                          <w:color w:val="000000"/>
                        </w:rPr>
                      </w:pPr>
                    </w:p>
                    <w:p w:rsidR="00A83B82" w:rsidRDefault="00A83B82"/>
                  </w:txbxContent>
                </v:textbox>
              </v:shape>
            </w:pict>
          </mc:Fallback>
        </mc:AlternateContent>
      </w:r>
    </w:p>
    <w:sectPr w:rsidR="00C43822" w:rsidSect="00DD2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F2B"/>
    <w:multiLevelType w:val="hybridMultilevel"/>
    <w:tmpl w:val="5F34A806"/>
    <w:lvl w:ilvl="0" w:tplc="0F20AB6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F6"/>
    <w:rsid w:val="00045B8D"/>
    <w:rsid w:val="0006710A"/>
    <w:rsid w:val="00112CD1"/>
    <w:rsid w:val="0016005F"/>
    <w:rsid w:val="001774B5"/>
    <w:rsid w:val="00224733"/>
    <w:rsid w:val="003D11A6"/>
    <w:rsid w:val="005417F6"/>
    <w:rsid w:val="00575AC3"/>
    <w:rsid w:val="00704FA6"/>
    <w:rsid w:val="00814053"/>
    <w:rsid w:val="00A83B82"/>
    <w:rsid w:val="00AB05B2"/>
    <w:rsid w:val="00B149E2"/>
    <w:rsid w:val="00B969D2"/>
    <w:rsid w:val="00BA2602"/>
    <w:rsid w:val="00C34471"/>
    <w:rsid w:val="00C43822"/>
    <w:rsid w:val="00DD22FA"/>
    <w:rsid w:val="00DD2CA0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DCE5C"/>
  <w15:chartTrackingRefBased/>
  <w15:docId w15:val="{BC646241-EC26-4B74-957B-FF5B926B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uiPriority w:val="99"/>
    <w:unhideWhenUsed/>
    <w:rsid w:val="003D1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2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6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Julius Caesar Projects</vt:lpstr>
    </vt:vector>
  </TitlesOfParts>
  <Company>Mesa Co Valley School Dist 51</Company>
  <LinksUpToDate>false</LinksUpToDate>
  <CharactersWithSpaces>2706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http://www.toondoo.com/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Projects</dc:title>
  <dc:subject/>
  <dc:creator>User</dc:creator>
  <cp:keywords/>
  <dc:description/>
  <cp:lastModifiedBy>Mccune, Mariah</cp:lastModifiedBy>
  <cp:revision>7</cp:revision>
  <cp:lastPrinted>2012-04-16T12:30:00Z</cp:lastPrinted>
  <dcterms:created xsi:type="dcterms:W3CDTF">2017-11-07T18:05:00Z</dcterms:created>
  <dcterms:modified xsi:type="dcterms:W3CDTF">2020-02-26T20:12:00Z</dcterms:modified>
</cp:coreProperties>
</file>