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1" w:rsidRDefault="00367351" w:rsidP="007640FB">
      <w:pPr>
        <w:spacing w:after="0"/>
        <w:jc w:val="center"/>
        <w:rPr>
          <w:rFonts w:ascii="Times New Roman" w:hAnsi="Times New Roman" w:cs="Times New Roman"/>
          <w:b/>
          <w:sz w:val="28"/>
          <w:szCs w:val="28"/>
        </w:rPr>
      </w:pPr>
      <w:bookmarkStart w:id="0" w:name="_GoBack"/>
      <w:bookmarkEnd w:id="0"/>
    </w:p>
    <w:p w:rsidR="007640FB" w:rsidRPr="00917D51" w:rsidRDefault="007640FB" w:rsidP="007640FB">
      <w:pPr>
        <w:spacing w:after="0"/>
        <w:jc w:val="center"/>
        <w:rPr>
          <w:rFonts w:ascii="Times New Roman" w:hAnsi="Times New Roman" w:cs="Times New Roman"/>
          <w:b/>
          <w:sz w:val="28"/>
          <w:szCs w:val="28"/>
        </w:rPr>
      </w:pPr>
      <w:r w:rsidRPr="00917D51">
        <w:rPr>
          <w:rFonts w:ascii="Times New Roman" w:hAnsi="Times New Roman" w:cs="Times New Roman"/>
          <w:b/>
          <w:noProof/>
          <w:sz w:val="28"/>
          <w:szCs w:val="28"/>
        </w:rPr>
        <w:drawing>
          <wp:anchor distT="36576" distB="36576" distL="36576" distR="36576" simplePos="0" relativeHeight="251661312" behindDoc="0" locked="0" layoutInCell="1" allowOverlap="1">
            <wp:simplePos x="0" y="0"/>
            <wp:positionH relativeFrom="column">
              <wp:posOffset>-409575</wp:posOffset>
            </wp:positionH>
            <wp:positionV relativeFrom="paragraph">
              <wp:posOffset>-85725</wp:posOffset>
            </wp:positionV>
            <wp:extent cx="1257300" cy="1409700"/>
            <wp:effectExtent l="19050" t="0" r="0" b="0"/>
            <wp:wrapNone/>
            <wp:docPr id="1" name="Picture 2" descr="Logo tig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tiger"/>
                    <pic:cNvPicPr preferRelativeResize="0">
                      <a:picLocks noChangeArrowheads="1"/>
                    </pic:cNvPicPr>
                  </pic:nvPicPr>
                  <pic:blipFill>
                    <a:blip r:embed="rId6" cstate="print"/>
                    <a:srcRect/>
                    <a:stretch>
                      <a:fillRect/>
                    </a:stretch>
                  </pic:blipFill>
                  <pic:spPr bwMode="auto">
                    <a:xfrm>
                      <a:off x="0" y="0"/>
                      <a:ext cx="1257300" cy="1409700"/>
                    </a:xfrm>
                    <a:prstGeom prst="rect">
                      <a:avLst/>
                    </a:prstGeom>
                    <a:noFill/>
                    <a:ln w="0" algn="in">
                      <a:noFill/>
                      <a:miter lim="800000"/>
                      <a:headEnd/>
                      <a:tailEnd/>
                    </a:ln>
                    <a:effectLst/>
                  </pic:spPr>
                </pic:pic>
              </a:graphicData>
            </a:graphic>
          </wp:anchor>
        </w:drawing>
      </w:r>
      <w:r w:rsidRPr="00917D51">
        <w:rPr>
          <w:rFonts w:ascii="Times New Roman" w:hAnsi="Times New Roman" w:cs="Times New Roman"/>
          <w:b/>
          <w:sz w:val="28"/>
          <w:szCs w:val="28"/>
        </w:rPr>
        <w:t>Grand Junction High School</w:t>
      </w:r>
    </w:p>
    <w:p w:rsidR="007640FB" w:rsidRPr="00917D51" w:rsidRDefault="007640FB" w:rsidP="007640FB">
      <w:pPr>
        <w:spacing w:after="0"/>
        <w:jc w:val="center"/>
        <w:rPr>
          <w:rFonts w:ascii="Times New Roman" w:hAnsi="Times New Roman" w:cs="Times New Roman"/>
          <w:b/>
          <w:sz w:val="28"/>
          <w:szCs w:val="28"/>
        </w:rPr>
      </w:pPr>
      <w:r w:rsidRPr="00917D51">
        <w:rPr>
          <w:rFonts w:ascii="Times New Roman" w:hAnsi="Times New Roman" w:cs="Times New Roman"/>
          <w:b/>
          <w:sz w:val="28"/>
          <w:szCs w:val="28"/>
        </w:rPr>
        <w:t>1400 North 5</w:t>
      </w:r>
      <w:r w:rsidRPr="00917D51">
        <w:rPr>
          <w:rFonts w:ascii="Times New Roman" w:hAnsi="Times New Roman" w:cs="Times New Roman"/>
          <w:b/>
          <w:sz w:val="28"/>
          <w:szCs w:val="28"/>
          <w:vertAlign w:val="superscript"/>
        </w:rPr>
        <w:t>th</w:t>
      </w:r>
      <w:r w:rsidRPr="00917D51">
        <w:rPr>
          <w:rFonts w:ascii="Times New Roman" w:hAnsi="Times New Roman" w:cs="Times New Roman"/>
          <w:b/>
          <w:sz w:val="28"/>
          <w:szCs w:val="28"/>
        </w:rPr>
        <w:t xml:space="preserve"> Street</w:t>
      </w:r>
    </w:p>
    <w:p w:rsidR="007640FB" w:rsidRPr="00917D51" w:rsidRDefault="007640FB" w:rsidP="007640FB">
      <w:pPr>
        <w:spacing w:after="0"/>
        <w:jc w:val="center"/>
        <w:rPr>
          <w:rFonts w:ascii="Times New Roman" w:hAnsi="Times New Roman" w:cs="Times New Roman"/>
          <w:b/>
          <w:sz w:val="28"/>
          <w:szCs w:val="28"/>
        </w:rPr>
      </w:pPr>
      <w:r w:rsidRPr="00917D51">
        <w:rPr>
          <w:rFonts w:ascii="Times New Roman" w:hAnsi="Times New Roman" w:cs="Times New Roman"/>
          <w:b/>
          <w:sz w:val="28"/>
          <w:szCs w:val="28"/>
        </w:rPr>
        <w:t>Grand Junction, Colorado 81501</w:t>
      </w:r>
    </w:p>
    <w:p w:rsidR="007640FB" w:rsidRPr="004C5CB4" w:rsidRDefault="007640FB" w:rsidP="007640FB">
      <w:pPr>
        <w:spacing w:after="0"/>
        <w:jc w:val="center"/>
        <w:rPr>
          <w:rFonts w:ascii="Times New Roman" w:hAnsi="Times New Roman" w:cs="Times New Roman"/>
          <w:b/>
          <w:i/>
          <w:sz w:val="28"/>
          <w:szCs w:val="28"/>
        </w:rPr>
      </w:pPr>
      <w:r w:rsidRPr="004C5CB4">
        <w:rPr>
          <w:rFonts w:ascii="Times New Roman" w:hAnsi="Times New Roman" w:cs="Times New Roman"/>
          <w:b/>
          <w:i/>
          <w:sz w:val="28"/>
          <w:szCs w:val="28"/>
        </w:rPr>
        <w:t>The Home of the Tigers!</w:t>
      </w:r>
    </w:p>
    <w:p w:rsidR="00EB7315" w:rsidRDefault="00EB7315" w:rsidP="007640FB">
      <w:pPr>
        <w:jc w:val="center"/>
      </w:pPr>
    </w:p>
    <w:p w:rsidR="004B15F3" w:rsidRDefault="004B15F3"/>
    <w:p w:rsidR="004C5CB4" w:rsidRDefault="006D2140" w:rsidP="004C5CB4">
      <w:pPr>
        <w:rPr>
          <w:rFonts w:ascii="Times New Roman" w:hAnsi="Times New Roman" w:cs="Times New Roman"/>
          <w:sz w:val="24"/>
          <w:szCs w:val="24"/>
        </w:rPr>
      </w:pPr>
      <w:r>
        <w:rPr>
          <w:rFonts w:ascii="Times New Roman" w:hAnsi="Times New Roman" w:cs="Times New Roman"/>
          <w:sz w:val="24"/>
          <w:szCs w:val="24"/>
        </w:rPr>
        <w:t>April 2017</w:t>
      </w:r>
    </w:p>
    <w:p w:rsidR="004C5CB4" w:rsidRDefault="006D2140" w:rsidP="004C5CB4">
      <w:pPr>
        <w:spacing w:after="0"/>
        <w:rPr>
          <w:rFonts w:ascii="Times New Roman" w:hAnsi="Times New Roman" w:cs="Times New Roman"/>
          <w:sz w:val="24"/>
          <w:szCs w:val="24"/>
        </w:rPr>
      </w:pPr>
      <w:r>
        <w:rPr>
          <w:rFonts w:ascii="Times New Roman" w:hAnsi="Times New Roman" w:cs="Times New Roman"/>
          <w:sz w:val="24"/>
          <w:szCs w:val="24"/>
        </w:rPr>
        <w:t>Incoming Class of 2021</w:t>
      </w:r>
    </w:p>
    <w:p w:rsidR="004C5CB4" w:rsidRDefault="004C5CB4" w:rsidP="004C5CB4">
      <w:pPr>
        <w:rPr>
          <w:rFonts w:ascii="Times New Roman" w:hAnsi="Times New Roman" w:cs="Times New Roman"/>
          <w:sz w:val="24"/>
          <w:szCs w:val="24"/>
        </w:rPr>
      </w:pPr>
      <w:r>
        <w:rPr>
          <w:rFonts w:ascii="Times New Roman" w:hAnsi="Times New Roman" w:cs="Times New Roman"/>
          <w:sz w:val="24"/>
          <w:szCs w:val="24"/>
        </w:rPr>
        <w:t>9</w:t>
      </w:r>
      <w:r w:rsidRPr="004C5CB4">
        <w:rPr>
          <w:rFonts w:ascii="Times New Roman" w:hAnsi="Times New Roman" w:cs="Times New Roman"/>
          <w:sz w:val="24"/>
          <w:szCs w:val="24"/>
          <w:vertAlign w:val="superscript"/>
        </w:rPr>
        <w:t>th</w:t>
      </w:r>
      <w:r>
        <w:rPr>
          <w:rFonts w:ascii="Times New Roman" w:hAnsi="Times New Roman" w:cs="Times New Roman"/>
          <w:sz w:val="24"/>
          <w:szCs w:val="24"/>
        </w:rPr>
        <w:t xml:space="preserve"> Grade Honors English Students</w:t>
      </w:r>
    </w:p>
    <w:p w:rsidR="004C5CB4" w:rsidRPr="004C5CB4" w:rsidRDefault="004C5CB4" w:rsidP="004F5DA4">
      <w:pPr>
        <w:rPr>
          <w:rFonts w:ascii="Times New Roman" w:hAnsi="Times New Roman" w:cs="Times New Roman"/>
          <w:sz w:val="24"/>
          <w:szCs w:val="24"/>
        </w:rPr>
      </w:pPr>
      <w:r w:rsidRPr="004C5CB4">
        <w:rPr>
          <w:rFonts w:ascii="Times New Roman" w:hAnsi="Times New Roman" w:cs="Times New Roman"/>
          <w:sz w:val="24"/>
          <w:szCs w:val="24"/>
        </w:rPr>
        <w:t>Welcome to 9</w:t>
      </w:r>
      <w:r w:rsidRPr="004C5CB4">
        <w:rPr>
          <w:rFonts w:ascii="Times New Roman" w:hAnsi="Times New Roman" w:cs="Times New Roman"/>
          <w:sz w:val="24"/>
          <w:szCs w:val="24"/>
          <w:vertAlign w:val="superscript"/>
        </w:rPr>
        <w:t>th</w:t>
      </w:r>
      <w:r w:rsidRPr="004C5CB4">
        <w:rPr>
          <w:rFonts w:ascii="Times New Roman" w:hAnsi="Times New Roman" w:cs="Times New Roman"/>
          <w:sz w:val="24"/>
          <w:szCs w:val="24"/>
        </w:rPr>
        <w:t xml:space="preserve"> Grade Honors English.  The Honors/AP English sequence has been created to meet the needs of those students who want to challenge themselves with a deeper study of language and a deeper understanding of literature and nonfiction. The Honors English program provides an enhanced approach and a more intense course of language study. </w:t>
      </w:r>
    </w:p>
    <w:p w:rsidR="008F7CC8" w:rsidRDefault="004C5CB4" w:rsidP="004F5DA4">
      <w:pPr>
        <w:rPr>
          <w:rFonts w:ascii="Times New Roman" w:hAnsi="Times New Roman" w:cs="Times New Roman"/>
          <w:sz w:val="24"/>
          <w:szCs w:val="24"/>
        </w:rPr>
      </w:pPr>
      <w:r w:rsidRPr="004C5CB4">
        <w:rPr>
          <w:rFonts w:ascii="Times New Roman" w:hAnsi="Times New Roman" w:cs="Times New Roman"/>
          <w:sz w:val="24"/>
          <w:szCs w:val="24"/>
        </w:rPr>
        <w:t xml:space="preserve">Incoming freshmen students must read </w:t>
      </w:r>
      <w:r w:rsidR="004F5DA4">
        <w:rPr>
          <w:rFonts w:ascii="Times New Roman" w:hAnsi="Times New Roman" w:cs="Times New Roman"/>
          <w:sz w:val="24"/>
          <w:szCs w:val="24"/>
        </w:rPr>
        <w:t xml:space="preserve">the novel </w:t>
      </w:r>
      <w:r w:rsidR="004F5DA4" w:rsidRPr="004F5DA4">
        <w:rPr>
          <w:rFonts w:ascii="Times New Roman" w:hAnsi="Times New Roman" w:cs="Times New Roman"/>
          <w:b/>
          <w:i/>
          <w:sz w:val="24"/>
          <w:szCs w:val="24"/>
        </w:rPr>
        <w:t>Rocket Boys</w:t>
      </w:r>
      <w:r w:rsidR="004F5DA4">
        <w:rPr>
          <w:rFonts w:ascii="Times New Roman" w:hAnsi="Times New Roman" w:cs="Times New Roman"/>
          <w:i/>
          <w:sz w:val="24"/>
          <w:szCs w:val="24"/>
        </w:rPr>
        <w:t xml:space="preserve"> </w:t>
      </w:r>
      <w:r w:rsidR="004F5DA4">
        <w:rPr>
          <w:rFonts w:ascii="Times New Roman" w:hAnsi="Times New Roman" w:cs="Times New Roman"/>
          <w:sz w:val="24"/>
          <w:szCs w:val="24"/>
        </w:rPr>
        <w:t>by Homer Hickam</w:t>
      </w:r>
      <w:r w:rsidR="009D2709">
        <w:rPr>
          <w:rFonts w:ascii="Times New Roman" w:hAnsi="Times New Roman" w:cs="Times New Roman"/>
          <w:sz w:val="24"/>
          <w:szCs w:val="24"/>
        </w:rPr>
        <w:t>,</w:t>
      </w:r>
      <w:r w:rsidR="004F5DA4">
        <w:rPr>
          <w:rFonts w:ascii="Times New Roman" w:hAnsi="Times New Roman" w:cs="Times New Roman"/>
          <w:sz w:val="24"/>
          <w:szCs w:val="24"/>
        </w:rPr>
        <w:t xml:space="preserve"> Jr.</w:t>
      </w:r>
      <w:r w:rsidRPr="004C5CB4">
        <w:rPr>
          <w:rFonts w:ascii="Times New Roman" w:hAnsi="Times New Roman" w:cs="Times New Roman"/>
          <w:sz w:val="24"/>
          <w:szCs w:val="24"/>
        </w:rPr>
        <w:t xml:space="preserve"> before the first day of class.  As you read, you will complete a double entry journal.  (See </w:t>
      </w:r>
      <w:r w:rsidR="00367351">
        <w:rPr>
          <w:rFonts w:ascii="Times New Roman" w:hAnsi="Times New Roman" w:cs="Times New Roman"/>
          <w:sz w:val="24"/>
          <w:szCs w:val="24"/>
        </w:rPr>
        <w:t>next</w:t>
      </w:r>
      <w:r w:rsidRPr="004C5CB4">
        <w:rPr>
          <w:rFonts w:ascii="Times New Roman" w:hAnsi="Times New Roman" w:cs="Times New Roman"/>
          <w:sz w:val="24"/>
          <w:szCs w:val="24"/>
        </w:rPr>
        <w:t xml:space="preserve"> page).  The purpose of the double entry journal is to connect the events in the novel to your own experiences and/or knowledge base.    By completing a double entry journal, you can delve into the novel on a deeper level.  The expectation is that you find a passage every 15-20 pages, record the passage and page numbers, and make a reflection in your journal.</w:t>
      </w:r>
      <w:r w:rsidR="004F5DA4">
        <w:rPr>
          <w:rFonts w:ascii="Times New Roman" w:hAnsi="Times New Roman" w:cs="Times New Roman"/>
          <w:sz w:val="24"/>
          <w:szCs w:val="24"/>
        </w:rPr>
        <w:t xml:space="preserve">  This means that you will have between 19 and 25 entries and reflections by the time you are finished.</w:t>
      </w:r>
      <w:r w:rsidRPr="004C5CB4">
        <w:rPr>
          <w:rFonts w:ascii="Times New Roman" w:hAnsi="Times New Roman" w:cs="Times New Roman"/>
          <w:sz w:val="24"/>
          <w:szCs w:val="24"/>
        </w:rPr>
        <w:t xml:space="preserve">  The journal is </w:t>
      </w:r>
      <w:r w:rsidRPr="004C5CB4">
        <w:rPr>
          <w:rFonts w:ascii="Times New Roman" w:hAnsi="Times New Roman" w:cs="Times New Roman"/>
          <w:b/>
          <w:bCs/>
          <w:i/>
          <w:iCs/>
          <w:sz w:val="24"/>
          <w:szCs w:val="24"/>
        </w:rPr>
        <w:t>not</w:t>
      </w:r>
      <w:r w:rsidRPr="004C5CB4">
        <w:rPr>
          <w:rFonts w:ascii="Times New Roman" w:hAnsi="Times New Roman" w:cs="Times New Roman"/>
          <w:sz w:val="24"/>
          <w:szCs w:val="24"/>
        </w:rPr>
        <w:t xml:space="preserve"> a summary.  It is a response to the novel based on the reader’s experiences, knowledge, predictions, and inferences.  Be mindful of how events advance the plot or develop a character.  This journal may be single-spaced typed or neatly handwritten.  Messy journals will not be accepted and will be returned to be redone.  The journal will be due the first day of Honors English class</w:t>
      </w:r>
      <w:r w:rsidR="008F7CC8">
        <w:rPr>
          <w:rFonts w:ascii="Times New Roman" w:hAnsi="Times New Roman" w:cs="Times New Roman"/>
          <w:sz w:val="24"/>
          <w:szCs w:val="24"/>
        </w:rPr>
        <w:t>.</w:t>
      </w:r>
    </w:p>
    <w:p w:rsidR="00D3759E" w:rsidRPr="004F5DA4" w:rsidRDefault="00D3759E" w:rsidP="004F5DA4">
      <w:pPr>
        <w:rPr>
          <w:rFonts w:ascii="Times New Roman" w:hAnsi="Times New Roman" w:cs="Times New Roman"/>
          <w:sz w:val="24"/>
          <w:szCs w:val="24"/>
        </w:rPr>
      </w:pPr>
      <w:r>
        <w:rPr>
          <w:rFonts w:ascii="Times New Roman" w:hAnsi="Times New Roman" w:cs="Times New Roman"/>
          <w:sz w:val="24"/>
          <w:szCs w:val="24"/>
        </w:rPr>
        <w:t>There will also be a short quiz over the novel on the first day of Honors English.</w:t>
      </w:r>
    </w:p>
    <w:p w:rsidR="004C5CB4" w:rsidRDefault="004C5CB4" w:rsidP="004C5CB4">
      <w:pPr>
        <w:rPr>
          <w:rFonts w:ascii="Times New Roman" w:hAnsi="Times New Roman" w:cs="Times New Roman"/>
          <w:sz w:val="24"/>
          <w:szCs w:val="24"/>
        </w:rPr>
      </w:pPr>
      <w:r w:rsidRPr="004C5CB4">
        <w:rPr>
          <w:rFonts w:ascii="Times New Roman" w:hAnsi="Times New Roman" w:cs="Times New Roman"/>
          <w:sz w:val="24"/>
          <w:szCs w:val="24"/>
        </w:rPr>
        <w:t>Have a great summer.  See you in August!</w:t>
      </w:r>
    </w:p>
    <w:p w:rsidR="008F7CC8" w:rsidRDefault="008F7CC8" w:rsidP="00D3759E">
      <w:pPr>
        <w:spacing w:after="0"/>
        <w:rPr>
          <w:rFonts w:ascii="Times New Roman" w:hAnsi="Times New Roman" w:cs="Times New Roman"/>
          <w:sz w:val="24"/>
          <w:szCs w:val="24"/>
        </w:rPr>
      </w:pPr>
      <w:r>
        <w:rPr>
          <w:rFonts w:ascii="Times New Roman" w:hAnsi="Times New Roman" w:cs="Times New Roman"/>
          <w:sz w:val="24"/>
          <w:szCs w:val="24"/>
        </w:rPr>
        <w:t>GJHS Honors 9 teachers</w:t>
      </w:r>
    </w:p>
    <w:p w:rsidR="00D3759E" w:rsidRDefault="00D3759E" w:rsidP="00D3759E">
      <w:pPr>
        <w:spacing w:after="0"/>
        <w:rPr>
          <w:rFonts w:ascii="Times New Roman" w:hAnsi="Times New Roman" w:cs="Times New Roman"/>
          <w:sz w:val="24"/>
          <w:szCs w:val="24"/>
        </w:rPr>
      </w:pPr>
      <w:r>
        <w:rPr>
          <w:rFonts w:ascii="Times New Roman" w:hAnsi="Times New Roman" w:cs="Times New Roman"/>
          <w:sz w:val="24"/>
          <w:szCs w:val="24"/>
        </w:rPr>
        <w:t>Carla King</w:t>
      </w:r>
    </w:p>
    <w:p w:rsidR="00D3759E" w:rsidRDefault="00D3759E" w:rsidP="00D3759E">
      <w:pPr>
        <w:spacing w:after="0"/>
        <w:rPr>
          <w:rFonts w:ascii="Times New Roman" w:hAnsi="Times New Roman" w:cs="Times New Roman"/>
          <w:sz w:val="24"/>
          <w:szCs w:val="24"/>
        </w:rPr>
      </w:pPr>
      <w:r>
        <w:rPr>
          <w:rFonts w:ascii="Times New Roman" w:hAnsi="Times New Roman" w:cs="Times New Roman"/>
          <w:sz w:val="24"/>
          <w:szCs w:val="24"/>
        </w:rPr>
        <w:t>Mariah McCune</w:t>
      </w:r>
    </w:p>
    <w:p w:rsidR="00D3759E" w:rsidRPr="004C5CB4" w:rsidRDefault="00D3759E" w:rsidP="00D3759E">
      <w:pPr>
        <w:spacing w:after="0"/>
        <w:rPr>
          <w:rFonts w:ascii="Times New Roman" w:hAnsi="Times New Roman" w:cs="Times New Roman"/>
          <w:sz w:val="24"/>
          <w:szCs w:val="24"/>
        </w:rPr>
      </w:pPr>
      <w:r>
        <w:rPr>
          <w:rFonts w:ascii="Times New Roman" w:hAnsi="Times New Roman" w:cs="Times New Roman"/>
          <w:sz w:val="24"/>
          <w:szCs w:val="24"/>
        </w:rPr>
        <w:t>Megan Read</w:t>
      </w:r>
    </w:p>
    <w:p w:rsidR="004C5CB4" w:rsidRPr="004C5CB4" w:rsidRDefault="004C5CB4" w:rsidP="008F7CC8">
      <w:pPr>
        <w:spacing w:after="0"/>
        <w:ind w:left="-360"/>
        <w:rPr>
          <w:rFonts w:ascii="Times New Roman" w:hAnsi="Times New Roman" w:cs="Times New Roman"/>
          <w:sz w:val="24"/>
          <w:szCs w:val="24"/>
        </w:rPr>
      </w:pPr>
      <w:r>
        <w:rPr>
          <w:rFonts w:ascii="Times New Roman" w:hAnsi="Times New Roman" w:cs="Times New Roman"/>
          <w:sz w:val="24"/>
          <w:szCs w:val="24"/>
        </w:rPr>
        <w:tab/>
      </w:r>
    </w:p>
    <w:p w:rsidR="004F5DA4" w:rsidRDefault="004F5DA4">
      <w:pPr>
        <w:rPr>
          <w:b/>
          <w:sz w:val="28"/>
          <w:szCs w:val="28"/>
        </w:rPr>
      </w:pPr>
      <w:r>
        <w:rPr>
          <w:b/>
          <w:sz w:val="28"/>
          <w:szCs w:val="28"/>
        </w:rPr>
        <w:br w:type="page"/>
      </w:r>
    </w:p>
    <w:p w:rsidR="008F7CC8" w:rsidRPr="00E36E35" w:rsidRDefault="008F7CC8" w:rsidP="00C56001">
      <w:pPr>
        <w:spacing w:after="0" w:line="240" w:lineRule="auto"/>
        <w:jc w:val="center"/>
        <w:rPr>
          <w:b/>
          <w:sz w:val="28"/>
          <w:szCs w:val="28"/>
        </w:rPr>
      </w:pPr>
      <w:r w:rsidRPr="00E36E35">
        <w:rPr>
          <w:b/>
          <w:sz w:val="28"/>
          <w:szCs w:val="28"/>
        </w:rPr>
        <w:lastRenderedPageBreak/>
        <w:t>Grand Junction High School</w:t>
      </w:r>
    </w:p>
    <w:p w:rsidR="008F7CC8" w:rsidRPr="00E36E35" w:rsidRDefault="008F7CC8" w:rsidP="008F7CC8">
      <w:pPr>
        <w:spacing w:after="0" w:line="240" w:lineRule="auto"/>
        <w:jc w:val="center"/>
        <w:rPr>
          <w:b/>
          <w:sz w:val="28"/>
          <w:szCs w:val="28"/>
        </w:rPr>
      </w:pPr>
      <w:r w:rsidRPr="00E36E35">
        <w:rPr>
          <w:b/>
          <w:sz w:val="28"/>
          <w:szCs w:val="28"/>
        </w:rPr>
        <w:t>Honors Composition Literature 9</w:t>
      </w:r>
    </w:p>
    <w:p w:rsidR="008F7CC8" w:rsidRDefault="008F7CC8" w:rsidP="008F7CC8">
      <w:pPr>
        <w:spacing w:after="0" w:line="240" w:lineRule="auto"/>
        <w:jc w:val="center"/>
        <w:rPr>
          <w:b/>
          <w:sz w:val="28"/>
          <w:szCs w:val="28"/>
        </w:rPr>
      </w:pPr>
      <w:r w:rsidRPr="00E36E35">
        <w:rPr>
          <w:b/>
          <w:sz w:val="28"/>
          <w:szCs w:val="28"/>
        </w:rPr>
        <w:t xml:space="preserve">Summer Reading </w:t>
      </w:r>
    </w:p>
    <w:p w:rsidR="008F7CC8" w:rsidRDefault="008F7CC8" w:rsidP="008F7CC8">
      <w:pPr>
        <w:jc w:val="center"/>
        <w:rPr>
          <w:b/>
          <w:sz w:val="28"/>
          <w:szCs w:val="28"/>
        </w:rPr>
      </w:pPr>
      <w:r>
        <w:rPr>
          <w:b/>
          <w:sz w:val="28"/>
          <w:szCs w:val="28"/>
        </w:rPr>
        <w:t xml:space="preserve">Double Entry Journal </w:t>
      </w:r>
    </w:p>
    <w:p w:rsidR="008F7CC8" w:rsidRPr="001E1989" w:rsidRDefault="008F7CC8" w:rsidP="008F7CC8">
      <w:pPr>
        <w:spacing w:line="312" w:lineRule="auto"/>
      </w:pPr>
      <w:r w:rsidRPr="001E1989">
        <w:rPr>
          <w:lang w:val="en"/>
        </w:rPr>
        <w:t>The Double-Entry Journal strategy enables students to record their responses to text as they read. Students write down phrases or sentences from their assigned reading and then write their own reaction to that passage. The purpose of this strategy is to give students the opportunity to express their thoughts and become actively involved with the material they read.</w:t>
      </w:r>
    </w:p>
    <w:p w:rsidR="008F7CC8" w:rsidRPr="001E1989" w:rsidRDefault="008F7CC8" w:rsidP="008F7CC8">
      <w:pPr>
        <w:spacing w:line="312" w:lineRule="auto"/>
      </w:pPr>
      <w:r w:rsidRPr="001E1989">
        <w:t>During and/or after the reading of a text, students use the Double-Entry Journal to demonstrate how they make connections with the text.</w:t>
      </w:r>
    </w:p>
    <w:p w:rsidR="008F7CC8" w:rsidRPr="001E1989" w:rsidRDefault="008F7CC8" w:rsidP="008F7CC8">
      <w:pPr>
        <w:numPr>
          <w:ilvl w:val="0"/>
          <w:numId w:val="1"/>
        </w:numPr>
        <w:spacing w:after="0" w:line="312" w:lineRule="auto"/>
        <w:ind w:left="705"/>
        <w:textAlignment w:val="top"/>
      </w:pPr>
      <w:r w:rsidRPr="001E1989">
        <w:t xml:space="preserve">In the first column (column on the left), students should choose a quote or situation from the text that they can relate/react to. </w:t>
      </w:r>
    </w:p>
    <w:p w:rsidR="008F7CC8" w:rsidRPr="001E1989" w:rsidRDefault="008F7CC8" w:rsidP="008F7CC8">
      <w:pPr>
        <w:numPr>
          <w:ilvl w:val="0"/>
          <w:numId w:val="1"/>
        </w:numPr>
        <w:spacing w:after="0" w:line="312" w:lineRule="auto"/>
        <w:ind w:left="705"/>
        <w:textAlignment w:val="top"/>
      </w:pPr>
      <w:r w:rsidRPr="001E1989">
        <w:t>In the second column (column on the right), students should record their thoughts or reaction.</w:t>
      </w:r>
    </w:p>
    <w:p w:rsidR="008F7CC8" w:rsidRPr="001E1989" w:rsidRDefault="008F7CC8" w:rsidP="008F7CC8">
      <w:pPr>
        <w:spacing w:line="312" w:lineRule="auto"/>
      </w:pPr>
    </w:p>
    <w:p w:rsidR="008F7CC8" w:rsidRPr="001E1989" w:rsidRDefault="008F7CC8" w:rsidP="008F7CC8">
      <w:pPr>
        <w:spacing w:line="312" w:lineRule="auto"/>
      </w:pPr>
      <w:r w:rsidRPr="001E1989">
        <w:t xml:space="preserve">Students reinforce the fact that the thoughts/reactions they record should make a connection between the text and themselves (text-to-self), another text (text-to-text), or the world (text-to-world).  </w:t>
      </w:r>
    </w:p>
    <w:p w:rsidR="008F7CC8" w:rsidRDefault="008F7CC8" w:rsidP="008F7CC8">
      <w:pPr>
        <w:jc w:val="center"/>
        <w:rPr>
          <w:b/>
          <w:sz w:val="28"/>
          <w:szCs w:val="28"/>
        </w:rPr>
      </w:pPr>
      <w:r w:rsidRPr="00E36E35">
        <w:rPr>
          <w:b/>
          <w:sz w:val="28"/>
          <w:szCs w:val="28"/>
        </w:rPr>
        <w:t xml:space="preserve">Example of Double Entry Journal </w:t>
      </w:r>
    </w:p>
    <w:p w:rsidR="008F7CC8" w:rsidRDefault="008F7CC8" w:rsidP="008F7CC8">
      <w:pPr>
        <w:rPr>
          <w:b/>
          <w:sz w:val="28"/>
          <w:szCs w:val="28"/>
        </w:rPr>
      </w:pPr>
      <w:r>
        <w:rPr>
          <w:b/>
          <w:sz w:val="28"/>
          <w:szCs w:val="28"/>
        </w:rPr>
        <w:t xml:space="preserve">                 Text</w:t>
      </w:r>
      <w:r>
        <w:rPr>
          <w:b/>
          <w:sz w:val="28"/>
          <w:szCs w:val="28"/>
        </w:rPr>
        <w:tab/>
      </w:r>
      <w:r>
        <w:rPr>
          <w:b/>
          <w:sz w:val="28"/>
          <w:szCs w:val="28"/>
        </w:rPr>
        <w:tab/>
      </w:r>
      <w:r w:rsidRPr="00E36E35">
        <w:rPr>
          <w:b/>
          <w:sz w:val="28"/>
          <w:szCs w:val="28"/>
          <w:u w:val="single"/>
        </w:rPr>
        <w:t>Siddhartha</w:t>
      </w:r>
      <w:r w:rsidRPr="00E36E35">
        <w:rPr>
          <w:b/>
          <w:sz w:val="28"/>
          <w:szCs w:val="28"/>
        </w:rPr>
        <w:t xml:space="preserve"> by Herman Hesse</w:t>
      </w:r>
    </w:p>
    <w:p w:rsidR="008F7CC8" w:rsidRDefault="008F7CC8" w:rsidP="008F7CC8">
      <w:pPr>
        <w:jc w:val="center"/>
        <w:rPr>
          <w:b/>
          <w:sz w:val="28"/>
          <w:szCs w:val="28"/>
        </w:rPr>
      </w:pPr>
    </w:p>
    <w:tbl>
      <w:tblPr>
        <w:tblStyle w:val="TableGrid"/>
        <w:tblW w:w="0" w:type="auto"/>
        <w:tblLook w:val="04A0" w:firstRow="1" w:lastRow="0" w:firstColumn="1" w:lastColumn="0" w:noHBand="0" w:noVBand="1"/>
      </w:tblPr>
      <w:tblGrid>
        <w:gridCol w:w="4641"/>
        <w:gridCol w:w="4709"/>
      </w:tblGrid>
      <w:tr w:rsidR="008F7CC8" w:rsidRPr="001E1989" w:rsidTr="008D0774">
        <w:trPr>
          <w:trHeight w:val="53"/>
        </w:trPr>
        <w:tc>
          <w:tcPr>
            <w:tcW w:w="4756" w:type="dxa"/>
          </w:tcPr>
          <w:p w:rsidR="008F7CC8" w:rsidRPr="001E1989" w:rsidRDefault="008F7CC8" w:rsidP="008D0774">
            <w:pPr>
              <w:rPr>
                <w:b/>
                <w:sz w:val="32"/>
                <w:szCs w:val="32"/>
              </w:rPr>
            </w:pPr>
            <w:r w:rsidRPr="001E1989">
              <w:rPr>
                <w:b/>
                <w:sz w:val="32"/>
                <w:szCs w:val="32"/>
              </w:rPr>
              <w:t>Key event, idea, word, quote, concept, or paragraph</w:t>
            </w:r>
          </w:p>
        </w:tc>
        <w:tc>
          <w:tcPr>
            <w:tcW w:w="4756" w:type="dxa"/>
          </w:tcPr>
          <w:p w:rsidR="008F7CC8" w:rsidRPr="001E1989" w:rsidRDefault="008F7CC8" w:rsidP="008D0774">
            <w:pPr>
              <w:rPr>
                <w:b/>
                <w:sz w:val="32"/>
                <w:szCs w:val="32"/>
              </w:rPr>
            </w:pPr>
            <w:r w:rsidRPr="001E1989">
              <w:rPr>
                <w:b/>
                <w:sz w:val="32"/>
                <w:szCs w:val="32"/>
              </w:rPr>
              <w:t>Reflections/Connections</w:t>
            </w:r>
          </w:p>
        </w:tc>
      </w:tr>
      <w:tr w:rsidR="008F7CC8" w:rsidRPr="001E1989" w:rsidTr="008D0774">
        <w:trPr>
          <w:trHeight w:val="3873"/>
        </w:trPr>
        <w:tc>
          <w:tcPr>
            <w:tcW w:w="4756" w:type="dxa"/>
          </w:tcPr>
          <w:p w:rsidR="008F7CC8" w:rsidRPr="001E1989" w:rsidRDefault="008F7CC8" w:rsidP="008D0774">
            <w:pPr>
              <w:rPr>
                <w:sz w:val="20"/>
                <w:szCs w:val="20"/>
              </w:rPr>
            </w:pPr>
            <w:r w:rsidRPr="001E1989">
              <w:rPr>
                <w:sz w:val="20"/>
                <w:szCs w:val="20"/>
              </w:rPr>
              <w:t xml:space="preserve">p. 97 “Whither will my path yet lead me?  This path is stupid, it goes in spirals, perhaps in circles, but whichever way it goes, I will follow it.  </w:t>
            </w:r>
          </w:p>
          <w:p w:rsidR="008F7CC8" w:rsidRPr="001E1989" w:rsidRDefault="008F7CC8" w:rsidP="008D0774">
            <w:pPr>
              <w:rPr>
                <w:sz w:val="20"/>
                <w:szCs w:val="20"/>
              </w:rPr>
            </w:pPr>
            <w:r w:rsidRPr="001E1989">
              <w:rPr>
                <w:sz w:val="20"/>
                <w:szCs w:val="20"/>
              </w:rPr>
              <w:tab/>
              <w:t>He was aware of a great happiness mounting within him.</w:t>
            </w:r>
          </w:p>
          <w:p w:rsidR="008F7CC8" w:rsidRPr="001E1989" w:rsidRDefault="008F7CC8" w:rsidP="008D0774">
            <w:pPr>
              <w:rPr>
                <w:sz w:val="20"/>
                <w:szCs w:val="20"/>
              </w:rPr>
            </w:pPr>
            <w:r w:rsidRPr="001E1989">
              <w:rPr>
                <w:sz w:val="20"/>
                <w:szCs w:val="20"/>
              </w:rPr>
              <w:tab/>
              <w:t>Where does it come from, he asked himself?  What is the reason for this feeling of happiness?  … How I hated the world of riches, carousing and playing!  How I hated myself for remaining so long in that horrible world!  How I hated myself, thwarted, poisoned, and tortured myself, made myself old and ugly. Never again, as I once fondly imagined, will I consider that Siddhartha is clever.”</w:t>
            </w:r>
          </w:p>
          <w:p w:rsidR="008F7CC8" w:rsidRPr="001E1989" w:rsidRDefault="008F7CC8" w:rsidP="008D0774"/>
        </w:tc>
        <w:tc>
          <w:tcPr>
            <w:tcW w:w="4756" w:type="dxa"/>
          </w:tcPr>
          <w:p w:rsidR="008F7CC8" w:rsidRPr="001E1989" w:rsidRDefault="008F7CC8" w:rsidP="008D0774">
            <w:pPr>
              <w:rPr>
                <w:sz w:val="20"/>
                <w:szCs w:val="20"/>
              </w:rPr>
            </w:pPr>
            <w:r w:rsidRPr="001E1989">
              <w:rPr>
                <w:sz w:val="20"/>
                <w:szCs w:val="20"/>
              </w:rPr>
              <w:t xml:space="preserve">Siddhartha continues on his journey of self.  I am surprised that he stayed so long in that world.  He is like a teenager who is trying to find the best path but has been lured by material things and excitement.  Hesse continues to surprise me by taking Siddhartha on paths that seem to be in total contrast to his “previous” life.  How is his spiral different from a circle?  </w:t>
            </w:r>
            <w:proofErr w:type="spellStart"/>
            <w:r w:rsidRPr="001E1989">
              <w:rPr>
                <w:sz w:val="20"/>
                <w:szCs w:val="20"/>
              </w:rPr>
              <w:t>Govinda</w:t>
            </w:r>
            <w:proofErr w:type="spellEnd"/>
            <w:r w:rsidRPr="001E1989">
              <w:rPr>
                <w:sz w:val="20"/>
                <w:szCs w:val="20"/>
              </w:rPr>
              <w:t xml:space="preserve"> told Siddhartha that his life was a spiral.  I wonder if the mention of the spiral means that Siddhartha will soon be meeting </w:t>
            </w:r>
            <w:proofErr w:type="spellStart"/>
            <w:r w:rsidRPr="001E1989">
              <w:rPr>
                <w:sz w:val="20"/>
                <w:szCs w:val="20"/>
              </w:rPr>
              <w:t>Govinda</w:t>
            </w:r>
            <w:proofErr w:type="spellEnd"/>
            <w:r w:rsidRPr="001E1989">
              <w:rPr>
                <w:sz w:val="20"/>
                <w:szCs w:val="20"/>
              </w:rPr>
              <w:t xml:space="preserve"> again.</w:t>
            </w:r>
          </w:p>
          <w:p w:rsidR="008F7CC8" w:rsidRPr="001E1989" w:rsidRDefault="008F7CC8" w:rsidP="008D0774"/>
        </w:tc>
      </w:tr>
    </w:tbl>
    <w:p w:rsidR="008F7CC8" w:rsidRDefault="008F7CC8" w:rsidP="008F7CC8">
      <w:pPr>
        <w:rPr>
          <w:b/>
          <w:sz w:val="28"/>
          <w:szCs w:val="28"/>
        </w:rPr>
      </w:pPr>
    </w:p>
    <w:p w:rsidR="00383197" w:rsidRPr="00ED4DE1" w:rsidRDefault="00383197" w:rsidP="00FD524F">
      <w:pPr>
        <w:ind w:left="-360"/>
        <w:rPr>
          <w:rFonts w:ascii="Times New Roman" w:hAnsi="Times New Roman" w:cs="Times New Roman"/>
        </w:rPr>
      </w:pPr>
    </w:p>
    <w:sectPr w:rsidR="00383197" w:rsidRPr="00ED4DE1" w:rsidSect="007640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430D8C"/>
    <w:multiLevelType w:val="hybridMultilevel"/>
    <w:tmpl w:val="2D765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E38F6"/>
    <w:multiLevelType w:val="multilevel"/>
    <w:tmpl w:val="F3BC27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3"/>
    <w:rsid w:val="00264F1D"/>
    <w:rsid w:val="00267565"/>
    <w:rsid w:val="00367351"/>
    <w:rsid w:val="00383197"/>
    <w:rsid w:val="004210FE"/>
    <w:rsid w:val="00477B59"/>
    <w:rsid w:val="004B15F3"/>
    <w:rsid w:val="004C5CB4"/>
    <w:rsid w:val="004F5DA4"/>
    <w:rsid w:val="005415A3"/>
    <w:rsid w:val="005A28BF"/>
    <w:rsid w:val="005B18A2"/>
    <w:rsid w:val="0060533E"/>
    <w:rsid w:val="00637E71"/>
    <w:rsid w:val="0066744B"/>
    <w:rsid w:val="006D2140"/>
    <w:rsid w:val="00706820"/>
    <w:rsid w:val="00734745"/>
    <w:rsid w:val="007640FB"/>
    <w:rsid w:val="007B7AB2"/>
    <w:rsid w:val="007D3C4E"/>
    <w:rsid w:val="007E392F"/>
    <w:rsid w:val="00862BD4"/>
    <w:rsid w:val="008F7CC8"/>
    <w:rsid w:val="00952895"/>
    <w:rsid w:val="00955064"/>
    <w:rsid w:val="00957C70"/>
    <w:rsid w:val="009D2709"/>
    <w:rsid w:val="00A15E4F"/>
    <w:rsid w:val="00A76AB8"/>
    <w:rsid w:val="00AC4EB1"/>
    <w:rsid w:val="00B0443C"/>
    <w:rsid w:val="00B06AE0"/>
    <w:rsid w:val="00B16088"/>
    <w:rsid w:val="00B55D6B"/>
    <w:rsid w:val="00BB0813"/>
    <w:rsid w:val="00BF5294"/>
    <w:rsid w:val="00C56001"/>
    <w:rsid w:val="00C87B91"/>
    <w:rsid w:val="00CA7AF3"/>
    <w:rsid w:val="00CB212A"/>
    <w:rsid w:val="00D00CB4"/>
    <w:rsid w:val="00D00E91"/>
    <w:rsid w:val="00D3759E"/>
    <w:rsid w:val="00D6481A"/>
    <w:rsid w:val="00E078F8"/>
    <w:rsid w:val="00E26E5A"/>
    <w:rsid w:val="00E55396"/>
    <w:rsid w:val="00E72720"/>
    <w:rsid w:val="00EB54C8"/>
    <w:rsid w:val="00EB7315"/>
    <w:rsid w:val="00EC12DD"/>
    <w:rsid w:val="00ED1D49"/>
    <w:rsid w:val="00ED4DE1"/>
    <w:rsid w:val="00EF23F3"/>
    <w:rsid w:val="00F76720"/>
    <w:rsid w:val="00FD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02E107-0D90-47B9-9EC6-E03E29BD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CB4"/>
    <w:rPr>
      <w:color w:val="009999"/>
      <w:u w:val="single"/>
    </w:rPr>
  </w:style>
  <w:style w:type="table" w:styleId="TableGrid">
    <w:name w:val="Table Grid"/>
    <w:basedOn w:val="TableNormal"/>
    <w:uiPriority w:val="59"/>
    <w:rsid w:val="008F7C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001"/>
    <w:pPr>
      <w:spacing w:after="0" w:line="240" w:lineRule="auto"/>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A207-D108-4F76-8ED7-B4AF2459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D31FFF84</Template>
  <TotalTime>1</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Mccune, Mariah</cp:lastModifiedBy>
  <cp:revision>2</cp:revision>
  <cp:lastPrinted>2008-03-05T19:01:00Z</cp:lastPrinted>
  <dcterms:created xsi:type="dcterms:W3CDTF">2017-04-26T12:52:00Z</dcterms:created>
  <dcterms:modified xsi:type="dcterms:W3CDTF">2017-04-26T12:52:00Z</dcterms:modified>
</cp:coreProperties>
</file>